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21 vom 7. November 2025</w:t>
      </w:r>
    </w:p>
    <w:p>
      <w:r>
        <w:t>VS Kantonsgericht, 2025-11-07, FR</w:t>
      </w:r>
    </w:p>
    <w:p>
      <w:r>
        <w:rPr>
          <w:b/>
        </w:rPr>
        <w:t xml:space="preserve">Quelle: </w:t>
      </w:r>
      <w:r>
        <w:t>https://mcp.opencaselaw.ch/entscheid/vs_gerichte_S1 24 21</w:t>
      </w:r>
    </w:p>
    <w:p>
      <w:r>
        <w:t>FR: VS_GERICHTE S1 24 21 du 7 novembre 2025</w:t>
      </w:r>
    </w:p>
    <w:p>
      <w:r>
        <w:t>IT: VS_GERICHTE S1 24 21 del 7 novembre 2025</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1er février 2024, le recours contre la décision du 18 décembre précédent a été interjeté dans le délai légal de trente jours, prolongé des féries de Noël (art. 38 al. 4 let. c et art. 60 LPGA) devant l'instance compétente (art. 56 à 58 LPGA, art. 69 al. 1 let. a LAI et art. 81a al. 1 LPJA). Il répond par ailleurs aux autres conditions formelles de recevabilité (art. 61 let. b LPGA), de sorte que la Cour doit entrer en matière.</w:t>
      </w:r>
    </w:p>
    <w:p>
      <w:r>
        <w:rPr>
          <w:b/>
        </w:rPr>
        <w:t>E. 2.1.1</w:t>
      </w:r>
    </w:p>
    <w:p>
      <w:r>
        <w:t>Contrairement à ce qui ressort de l’avis émis le 6 octobre 2023 par la Dresse E.____ (pièce 130, pages 554 à 558) et des conclusions du recours du 1er février 2024, l’Office AI a, dans sa note du 20 juin 2023 et la décision attaquée du 18 décembre suivant (pièce 145, pages 608 à 611), estimé qu’une péjoration de l’état de santé de l’assuré depuis la décision de refus d’une rente d’invalidité du 26 août 2020 (pièce 62, pages 259 à 262) avait bien été rendue plausible (pièce 106, page 401). Cet office est donc entré en matière sur la nouvelle demande du 11 mai 2023 (pièce 91, pages 365 à 376). Le présent litige porte donc sur la question de savoir si c’est à juste titre que, par la décision querellée du 18 décembre 2023 (pièce 145, pages 608 à 611), l’Office AI a refusé d’octroyer à l’assuré des prestations de l’assurance-invalidité telles que des mesures d’ordre professionnel et une rente d’invalidité, en considérant que les conclusions qui prévalaient lors des décisions de refus de mesures d’ordre professionnel et d’une rente d’invalidité rendues le 26 août 2020 (pièce 61, pages 252 à 255 et pièce 62, pages 259 à 262) étaient toujours valables et que depuis lors, aucune péjoration importante de l’état de santé de l’assuré n’avait été objectivée, tant sur le plan somatique que psychiatrique.</w:t>
      </w:r>
    </w:p>
    <w:p>
      <w:r>
        <w:t>- 12 -</w:t>
      </w:r>
    </w:p>
    <w:p>
      <w:r>
        <w:rPr>
          <w:b/>
        </w:rPr>
        <w:t>E. 2.1.2</w:t>
      </w:r>
    </w:p>
    <w:p>
      <w:r>
        <w:t>Aux termes de l'article 17 alinéa 1 LPGA, dans sa teneur en vigueur depuis le 1er janvier 2022 applicable ratione temporis au cas d'espèce, dès lors que le litige porte sur l'existence d'un motif de révision du droit à la rente postérieur à cette date (arrêt du Tribunal fédéral 8C_99/2025 du 19 août 2025 consid. 4.2), la rente d'invalidité est, d'office ou sur demande, révisée pour l'avenir, à savoir augmentée, réduite ou supprimée, lorsque le taux d'invalidité de l'assuré subit une modification d'au moins 5 points de pourcentage (let. a) ou atteint 100 % (let. b). L’existence d’un motif de révision du droit à la rente suppose une modification notable du taux d’invalidité. Le point de savoir si un tel changement s’est produit doit être tranché en comparant les faits tels qu’ils se présentaient au moment de la décision initiale de rente et les circonstances existant à l’époque de la décision litigieuse (ATF 147 V 167 consid. 4.1, 133 V 108 consid. 5 et 125 V 368 consid. 2 et la référence).</w:t>
      </w:r>
    </w:p>
    <w:p>
      <w:r>
        <w:rPr>
          <w:b/>
        </w:rPr>
        <w:t>E. 2.1.3</w:t>
      </w:r>
    </w:p>
    <w:p>
      <w:r>
        <w:t>L’assureur examine les demandes, prend d’office les mesures d’instruction nécessaires et recueille les renseignements dont il a besoin. Les renseignements donnés oralement doivent être consignés par écrit (art. 43 al. 1 LPGA). Si l’assureur juge une expertise nécessaire dans le cadre de mesures d’instruction médicale, il en fixe le type selon les exigences requises (art. 44 al. 1 i.i. LPGA). Dans la décision entreprise, l’Office AI a rappelé les exigences posées au considérant 3a de l’arrêt de principe paru aux ATF 125 V 351 pour la valeur probante d’un rapport médical. Il peut y être renvoyé. En outre, selon un arrêt du Tribunal fédéral en matière d'appréciation des preuves paru aux ATF 135 V 465,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(consid. 4.4). Quant aux médecins traitants qui se concentrent principalement sur la question du traitement médical, leurs rapports</w:t>
      </w:r>
    </w:p>
    <w:p>
      <w:r>
        <w:t>- 13 - n'aboutissent pas à une appréciation objective de l'état de santé permettant de trancher la question des prestations d'assurance de façon concluante, et ne remplissent donc que très rarement les conditions matérielles posées pour une expertise au considérant 3a de l'ATF 125 V 351.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(consid. 4.5). Cependant, afin que la personne assurée dispose d’une chance raisonnable de soumettre son cas au tribunal sans être manifestement désavantagée vis-à-vis de l’assureur et s’il subsiste un doute tel que mentionné plus haut, il ne peut être procédé à une appréciation concluante sur la base, d’une part, des rapports produits par la personne assurée et, d’autre part, de ceux émanant des médecins internes à l’assurance. Pour écarter ce doute, il incombera alors au tribunal d’ordonner une expertise judiciaire ou de renvoyer l’affaire à l’assureur en vue de la mise en œuvre d’une expertise selon la procédure prévue par l’article 44 LPGA (consid. 4.6). Enfin, dans l’arrêt paru aux ATF 141 V 281, le Tribunal fédéral a fixé de nouvelles exigences d’instruction pour les atteintes psychosomatiques. La présomption qui prévalait jusqu’à ce jour, selon laquelle ces atteintes pouvaient être surmontées en règle générale par un effort de volonté raisonnablement exigible, a été abandonnée. Désormais, la capacité de travail réellement exigible de la personne concernée doit être évaluée, sur la base des circonstances du cas particulier et sans résultat prédéfini, dans le cadre d’une procédure d’établissement des faits structurée au moyen d’un catalogue d’indicateurs relevant de deux catégories, celle du degré de gravité fonctionnelle de l’atteinte à la santé et celle de la cohérence du point de vue du comportement de la personne assurée. Tel que jugé dans les arrêts ultérieurs parus aux ATF 143 V 409 et 418 puis à l’ATF 145 V 215, l’application de cette procédure probatoire structurée a été étendue aux cas de troubles dépressifs de degré léger à moyen, respectivement à toutes les affections psychiques, de même qu’aux syndromes de dépendance.</w:t>
      </w:r>
    </w:p>
    <w:p>
      <w:r>
        <w:rPr>
          <w:b/>
        </w:rPr>
        <w:t>E. 2.2.1</w:t>
      </w:r>
    </w:p>
    <w:p>
      <w:r>
        <w:t>En l’occurrence, il convient de comparer les faits existant au moment des décisions du 26 août 2020 relatives au refus de mesures d’ordre professionnel (pièce 61, pages 252 à 255) et de rente d’invalidité (pièce 62, pages 259 à 262) avec ceux ayant conduit au prononcé entrepris du 18 décembre 2023, par lequel l’Office AI a nié une nouvelle fois le droit de l’assuré à de telles prestations (pièce 145, pages 608 à 611).</w:t>
      </w:r>
    </w:p>
    <w:p>
      <w:r>
        <w:t>- 14 -</w:t>
      </w:r>
    </w:p>
    <w:p>
      <w:r>
        <w:rPr>
          <w:b/>
        </w:rPr>
        <w:t>E. 2.2.2</w:t>
      </w:r>
    </w:p>
    <w:p>
      <w:r>
        <w:t>Les décisions du 26 août 2020 ont été rendues par l’Office AI sur la base du rapport final du 23 avril précédent (pièce 44, pages 176 à 179). Dans ce rapport, la Dresse E.____ du SMR s’est elle-même fondée sur celui que la Dresse B.____ a adressé le 8 novembre 2019 au médecin-conseil de C.____ SA (pièce 11, pages 61 à 68). La médecin du SMR a alors retenu le seul diagnostic incapacitant de polyneuropathie sensitivomotrice mixte d’origine toxique, lequel justifiait les périodes d’incapacité de travail reconnues par cette assurance mais permettait l’exercice à plein temps d’une activité adaptée. Parmi les diagnostics ayant une répercussion sur la capacité de travail, la Dresse B.____ a mentionné celui de polyneuropathie sensitivomotrice des membres inférieurs uniquement, d’origine toxique. Concernant ce dernier point, elle a seulement relaté les déclarations de l’assuré, selon lesquelles celui-ci buvait du vin rouge et de la bière quotidiennement et était en train de diminuer sa consommation. La Dresse E.____ a aussi eu connaissance des informations que le Dr D.____ a communiquées le 16 avril 2020 à l’Office AI. Ce médecin traitant a notamment posé le diagnostic avec effet sur la capacité de travail de polyneuropathie sensitivomotrice mixte, initialement prédominante sur le dos du pied droit puis avec composante myélinique importante, probablement d’origine toxique, notamment peut-être associée à une surconsommation d'alcool (pièce 42, pages 169 à 173). En résumé, à l’époque de la décision du 26 août 2020, la polyneuropathie sensitivomotrice ne touchait que les membres inférieurs et aucune maladie psychiatrique, en particulier aucun syndrome de dépendance, n’ont été mis en évidence.</w:t>
      </w:r>
    </w:p>
    <w:p>
      <w:r>
        <w:rPr>
          <w:b/>
        </w:rPr>
        <w:t>E. 2.2.3</w:t>
      </w:r>
    </w:p>
    <w:p>
      <w:r>
        <w:t>Il a été fait référence, dans la décision querellée du 18 décembre 2023, aux avis du SMR des 6 (pièce 130, pages 554 à 558) et 17 octobre 2023 (pièce 138, pages 583 à 587) puis du 30 novembre 2023 (pièce 144, pages 605 à 607), que l’Office AI a estimés probants. Selon ces prises de position du SMR, le seul diagnostic influençant la capacité de travail était celui, ancien et déjà évalué par le passé, de polyneuropathie sensitivomotrice mixte d’origine toxique (alcoolique). Le diagnostic posé par le Service de neurologie du I.____ était connu de longue date, soit depuis le rapport établi en novembre 2019 par la Dresse B.____ qui avait conclu à une capacité totale de travail dans une activité adaptée depuis le 31 mai 2019. La capacité de travail nulle mentionnée le 12 octobre 2023 par le Dr F.____ avait été fixée non pas dans toute activité lucrative, mais en relation avec les professions de mécanicien ou de magasinier, ce que le SMR avait également admis. La grave atteinte organique cérébrale également relevée par ce médecin ne ressortait pas des différentes investigations médicales pratiquées au fil du cas. Les neurologues du I.____ n’avaient pas rapporté d’atteinte centrale mais des</w:t>
      </w:r>
    </w:p>
    <w:p>
      <w:r>
        <w:t>- 15 - anomalies périphériques. Celles-ci demeuraient compatibles avec une pleine capacité de travail médico-théorique dans une activité adaptée, d’ailleurs corroborée par le Dr F.____ dans son certificat établi le 23 mai 2023 dans le cadre de l’assurance-chômage. Ce praticien y avait alors fait état d’une incapacité de travail de 0% dès le 1er juin 2023 dans une activité adaptée, décrite et reconnue par le SMR. En date du 12 octobre 2023, le Dr F.____ avait d’autre part insisté sur une maladie psychique qui ne relevait pas de sa spécialité. Au vu du suivi psychiatrique de mars à juin 2023 seulement, l’état anxio- dépressif ne pouvait être considéré comme incapacitant. Le pronostic professionnel était réservé pour des motifs extérieurs au champ de compétence de la médecine. Aucune nouvelle atteinte n’était apparue depuis les dernières décisions entrées en force. En procédure judiciaire, le Dr J.____ a encore émis un avis, le 14 février 2024, sur les réponses données par le Dr F.____ au mandataire du recourant le 25 novembre précédent (pièce 3 du recourant). Du point de vue du Dr J.____, il n’y avait pas lieu de retenir un quelconque diagnostic psychiatrique incapacitant, en l’absence de suivi ou de traitement spécifiques ni de description d’un status sur ce plan. Le H.____ avait d’ailleurs qualifié de bon le potentiel de réadaptation au niveau psychologique. Des troubles cognitifs, au demeurant non établis à ce jour, dans un contexte de consommation inappropriée d’alcool, ne pouvaient être considérés comme durables, compte tenu d’une exigibilité de sevrage qui les verrait s’amender. La capacité de travail dans une activité adaptée, désormais évaluée à 30% par le Dr F.____, n’était pas étayée par des éléments objectifs nouveaux.</w:t>
      </w:r>
    </w:p>
    <w:p>
      <w:r>
        <w:rPr>
          <w:b/>
        </w:rPr>
        <w:t>E. 2.2.4</w:t>
      </w:r>
    </w:p>
    <w:p>
      <w:r>
        <w:t>La Cour estime toutefois que les éléments apportés par les médecins traitants, dans le cadre de la nouvelle demande de prestations du 11 mai 2023 (pièce 91, pages 365 376), sont de nature à semer le doute sur la fiabilité et le bien-fondé des appréciations du SMR, lesquelles n’emportent pas sa conviction. Tout d’abord, la polyneuropathie sensitivomotrice, qui touchait à l’époque des décisions du 26 août 2020 les membres inférieurs uniquement, s’est aggravée en s’étendant aux membres supérieurs, tel qu’indiqué par le Dr F.____ dans ses rapports des 7 mai (pièce 105, pages 395 à 397), 15 août (pièce 120, pages 506 à 509) et 12 octobre 2023 (pièce 135, page 571). Certes, dans la décision entreprise du 18 décembre 2023, l’Office AI a tenu compte de cette péjoration, en ajoutant aux limitations fonctionnelles précédemment retenues celle relative à la manutention fine et à la dextérité avec les mains. En revanche, il n’a implicitement pas considéré une telle aggravation comme notable au sens de l’article 17 alinéa 1 LPGA (pièce 145, pages 608 à 611).</w:t>
      </w:r>
    </w:p>
    <w:p>
      <w:r>
        <w:t>- 16 - Ensuite, l’origine toxique de la polyneuropathie a effectivement été évoquée le 8 novembre 2019 par la Dresse B.____ (pièce 11, pages 61 à 68) et le 16 avril suivant par le Dr D.____ (pièce 42, pages 169 à 173), mais sans plus amples explications. Cette cause toxique a encore été qualifiée de simplement probable dans les rapports du Dr F.____ des 7 mai (pièce 105, pages 395 à 397) et 16 août 2023 (pièce 120, pages 506 à 509) et du Dr D.____ du 16 juin 2023 (pièce 105, pages 393 et 394). Ce n’est qu’à l’issue des investigations poussées, effectuées en août 2023 au Service de neurologie du I.____, qu’a été clairement posé le diagnostic principal de polyneuropathie sensitivomotrice axonale et démyélinisante, avec composante de polyneuropathie axonale toxique sur consommation excessive d’alcool, à laquelle le patient, pourtant vivement encouragé en ce sens, s’était montré réticent à mettre un terme (pièce 129, pages 546 à 553). Ces résultats circonstanciés, dont le Dr F.____ ne disposait pas lorsqu’il a établi le certificat du 23 mai 2023 à l’attention de l’assurance-chômage (pièce 109, page 410), ont été rapportés par ce spécialiste le 12 octobre 2023 et confirmés dans ses réponses du 25 novembre suivant au mandataire du recourant. Le Dr F.____ a alors fait état d’une polyneuropathie alcoolique dans un contexte d’addiction et d’une consommation toxique d’alcool, après exclusion d’autres causes (pièce 135, page 571), puis d’une polyneuropathie toxique, c’est-à-dire d’une atteinte dégénérative des nerfs due à une forte consommation d’alcool qui entraînait également des troubles cognitifs (pièce 3 du recourant). Or, comme instauré par l’ATF 145 V 215, l’incidence sur la capacité de travail d’un tel syndrome de dépendance doit être évaluée au moyen de la procédure d’établissement des faits structurée décrite à l’ATF 141 V 281. Est insuffisante à cet égard la remarque laconique formulée le 14 février 2024 par le Dr J.____, selon laquelle des troubles cognitifs dans un contexte de consommation inappropriée d’alcool ne pouvaient être considérés comme durables, compte tenu d’une exigibilité de sevrage qui les verrait s’amender. Enfin, il est vrai que le diagnostic d’épisode dépressif moyen (F32.1) posé dans le rapport établi le 10 juillet 2023 par la Dresse G.____ du H.____, affection dont l’assuré ne souffrait pas lors du prononcé des décisions du 26 août 2020, n’a fait l’objet que d’un suivi psychiatrique et psychothérapeutique bref, du 20 mars au 27 juin 2023 (pièce 113, pages 483 à 488). Contrairement aux avis du SMR, cette courte thérapie spécialisée, qui a peut-être eu pour seul but d’écarter les idées suicidaires en raison desquelles le médecin traitant avait adressé son patient au H.____, ne signifie toutefois pas encore que le diagnostic en question ne soit pas incapacitant. Bien documenté tant du point de vue des constatations médicales que des limitations fonctionnelles, ce diagnostic a été qualifié comme tel par la Dresse G.____. Cette spécialiste a fixé l’incapacité de travail</w:t>
      </w:r>
    </w:p>
    <w:p>
      <w:r>
        <w:t>- 17 - dans toute activité professionnelle à 100% du 20 mars au 15 juillet 2023 et à 50% par la suite. Elle a préconisé la réévaluation de ce dernier taux, la reprise du suivi par le médecin traitant ainsi que la poursuite de la médication par antidépresseur qu’elle avait instaurée. Le SMR et l’Office AI ont rappelé d’autre part que selon le H.____, le potentiel de réadaptation de l’assuré dans un poste adapté à ses limitations psychiques et cognitives était bon. La Dresse G.____ a néanmoins tempéré son propos en ajoutant que ce potentiel, ainsi que l’évolution de la capacité de travail et des symptômes dépressifs, dépendaient partiellement de l’état de santé somatique et que le pronostic était donc réservé. Or, tel que retenu plus haut et au demeurant admis par l’intimé, la polyneuropathie sensitivomotrice axonale et démyélinisante s’est aggravée. A suivre les explications de la Dresse G.____, l’épisode dépressif moyen a donc aussi dû évoluer défavorablement. En tout état de cause, le point de vue exprimé le 30 novembre 2023 par le Dr J.____, selon lequel le pronostic professionnel était réservé pour des motifs extérieurs au champ de compétence de la médecine, est dénué de pertinence (pièce 144, pages 605 à 607). Conformément aux développements de l’ATF 143 V 409, le caractère incapacitant de l’épisode dépressif moyen diagnostiqué au cours de la thérapie dont l’assuré a bénéficié auprès du H.____ doit également être évalué par le biais de la procédure d’établissement des faits structurée, telle que développée à l’ATF 141 V 281.</w:t>
      </w:r>
    </w:p>
    <w:p>
      <w:r>
        <w:rPr>
          <w:b/>
        </w:rPr>
        <w:t>E. 2.2.5</w:t>
      </w:r>
    </w:p>
    <w:p>
      <w:r>
        <w:t>Au vu de ce qui précède, le point de savoir si une aggravation importante de l’état de santé du recourant propre à justifier, au sens de l’article 17 alinéa 1 LPGA, une modification notable du taux d’invalidité arrêté à 16% dans les décisions de refus de prestations du 26 août 2020 (pièce 61, pages 252 à 255 et pièce 62, pages 259 à 262) est intervenue depuis lors n’a, contrairement à ce qui a été allégué dans la décision querellée, pas été instruit à satisfaction de droit par l’intimé. A la lumière des développements de l’ATF 135 V 465, la mise en œuvre d’une expertise indépendante selon l’article 44 LPGA par l’autorité administrative ou judiciaire s’impose afin d’écarter le doute relevé au considérant précédent. Dans son mémoire du 1er février 2024, le recourant a requis, à titre de moyen de preuve, la mise en œuvre d’une expertise judiciaire. Or, en son considérant 4.4.1.4, l’arrêt de principe paru aux ATF 137 V 210 réserve la possibilité d’un renvoi du dossier à l’Office AI, en vue de l’éclaircissement indispensable d’éléments n’ayant fait l’objet d’aucune mesure d’instruction en procédure administrative. Comme exposé plus haut, tel est le cas en l’espèce, puisque l’Office AI n’a pas appliqué la procédure d’établissement des faits structurée relativement aux troubles d’ordre psychique et de dépendance présentés par l’assuré. Il n’appartient donc pas à la Cour de combler cette lacune dans l’établissement de faits déterminants pour</w:t>
      </w:r>
    </w:p>
    <w:p>
      <w:r>
        <w:t>- 18 - l’issue de la présente affaire, lacune qui constitue en réalité une violation par l’intimé de son obligation d’instruction d’office prévue par l’article 43 alinéa 1 LPGA.</w:t>
      </w:r>
    </w:p>
    <w:p>
      <w:r>
        <w:rPr>
          <w:b/>
        </w:rPr>
        <w:t>E. 3.1</w:t>
      </w:r>
    </w:p>
    <w:p>
      <w:r>
        <w:t>Partant, le recours est admis et la décision de l’Office AI du 18 décembre 2023 est annulée. Le dossier est renvoyé à cet office afin qu’il procède conformément au présent considérant. En application de l’article 44 alinéa 1 in initio LPGA, la décision relative au type d’expertise à mettre en œuvre lui revient. Dans cette perspective, des informations supplémentaires pourront être recueillies auprès du Dr F.____ qui a indiqué au mandataire de son patient, le 25 novembre 2023, avoir proposé à celui-ci tout un programme d’investigations neuropsychologiques, psychiatriques et relatives à la problématique alcoolique (pièce 3 du recourant).</w:t>
      </w:r>
    </w:p>
    <w:p>
      <w:r>
        <w:rPr>
          <w:b/>
        </w:rPr>
        <w:t>E. 3.2</w:t>
      </w:r>
    </w:p>
    <w:p>
      <w:r>
        <w:t>Au vu de l’issue du litige et en application du principe d’appréciation anticipée des preuves (sur cette notion, il est notamment renvoyé à l’ATF 145 I 167 consid. 4.1 et aux arrêts du Tribunal fédéral 8C_172/2012 du 14 mars 2013 consid. 3 et les références, 9C_962/2010 du 1er septembre 2011 consid. 4.1 et 9C_966/2010 du 29 avril 2011 consid. 2.2.), il ne sera pas procédé à l’audition de l’ex-employeur du recourant, que celui-ci a sollicitée dans sa réplique du 15 mars 2024. De plus, comme l’intimé l’a pertinemment souligné le 9 avril suivant, une telle audition n’aurait pas été déterminante relativement aux questions surtout médicales soulevées dans le cas présent.</w:t>
      </w:r>
    </w:p>
    <w:p>
      <w:r>
        <w:rPr>
          <w:b/>
        </w:rPr>
        <w:t>E. 4.1</w:t>
      </w:r>
    </w:p>
    <w:p>
      <w:r>
        <w:t>Sous l’empire de l’article 61 lettre g LPGA également, la partie recourante est réputée avoir obtenu gain de cause lorsque, dans la procédure judiciaire cantonale portant sur des prestations d’assurance sociale, la décision administrative de refus est annulée et la cause renvoyée à l’administration pour instruction complémentaire puis nouvelle décision (ATF 137 V 57 consid. 2.1 et 132 V 215 consid. 6). A la lumière de cette jurisprudence, le recourant obtient ainsi gain de cause en l’espèce.</w:t>
      </w:r>
    </w:p>
    <w:p>
      <w:r>
        <w:rPr>
          <w:b/>
        </w:rPr>
        <w:t>E. 4.2</w:t>
      </w:r>
    </w:p>
    <w:p>
      <w:r>
        <w:t>Les frais, arrêtés à 500 fr. en fonction de la charge liée à la procédure, sont donc intégralement mis à la charge de l’intimé qui succombe (art. 69 al. 1bis LAI, art. 81a al. 2 et 89 al. 1 LPJA).</w:t>
      </w:r>
    </w:p>
    <w:p>
      <w:r>
        <w:t>- 19 -</w:t>
      </w:r>
    </w:p>
    <w:p>
      <w:r>
        <w:rPr>
          <w:b/>
        </w:rPr>
        <w:t>E. 4.3</w:t>
      </w:r>
    </w:p>
    <w:p>
      <w:r>
        <w:t>Le recourant a droit à des dépens qui, vu l’issue de la cause, seront supportés par l’intimé (art. 61 let. g LPGA, art. 81a al. 2 et 91 al. 1 et 2 a contrario LPJA, art. 27 al. 1 et 40 al. 1 LTar). Selon la jurisprudence fédérale relative aux dépens dans les matières relevant du droit public, également applicable dans le cadre de l’article 61 lettre g LPGA, une partie représentée tant par un avocat que par tout mandataire qualifié a droit à une indemnité pour ses dépens si elle obtient gain de cause (ATF 126 V 11 consid. 2 et 122 V 278, Pratique VSI 1997 p. 33, arrêts du Tribunal fédéral 8C_546/2018 du 9 octobre 2018 consid. 5.1, 9C_688/2009 du 19 novembre 2009 et 9C_600/2007 du 12 janvier 2009 et les références, arrêt du Tribunal fédéral des assurances I 74/07 du 11 décembre 2007). Il a toutefois été retenu qu'une indemnisation distincte d'avocats employés auprès d'associations ou d’autres entreprises privées, d'une part, et d'avocats exerçant leur métier en profession libérale, d'autre part, n'était pas arbitraire (arrêt du Tribunal fédéral des assurances du 26 février 1999 paru in SVR 1999 IV Nr. 28). Dans une cause de droit public, le Tribunal fédéral a également jugé qu'il n'était pas arbitraire de traiter différemment le statut d'avocat indépendant de celui d'avocat employé par une assurance de protection juridique. A titre de motivation, il a notamment estimé que ce dernier profitait de l'infrastructure de l'assurance et de la possibilité de celle-ci de faire de la publicité, qu'il était dédommagé de manière approprié pour son travail et que la société recevait pour ses prestations des primes des assurés (ATF 120 Ia 169 consid. 3a). Dans le présent dossier de complexité moyenne, le mandataire du recourant a produit un mémoire de recours bien étayé, une très brève réplique, deux courriers et une trentaine de copies. Compte tenu de la fourchette de 550 fr. à 11’000 fr. prévue par l’article 40 alinéa 1 LTar, la Cour fixe les dépens, réduits en considération de la pratique jurisprudentielle exposée ci-dessus, à un montant forfaitaire de 800 fr., débours et TVA inclus (art. 27 al. 5 LTar).</w:t>
      </w:r>
    </w:p>
    <w:p>
      <w:r>
        <w:t>- 20 - Prononce</w:t>
      </w:r>
    </w:p>
    <w:p>
      <w:r>
        <w:t>1. Le recours est admis et la décision de l’Office cantonal AI du Valais du 18 décembre 2023 est annulée. Le dossier est renvoyé à cet office afin qu’il procède conformément aux considérants 2.2.5 et 3.1 du présent jugement. 2. Les frais, arrêtés à 500 fr., sont mis à la charge de l’Office cantonal AI du Valais. 3. L’Office cantonal AI du Valais versera à A.____ une indemnité de 800 fr. pour ses dépens.</w:t>
      </w:r>
    </w:p>
    <w:p>
      <w:r>
        <w:t>Sion, le 7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